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B72798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研修レポート（主幹教諭：任用１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A3D" w:rsidRPr="00322F78" w:rsidRDefault="00B72798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１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4F4A3D">
              <w:rPr>
                <w:rFonts w:cs="Times New Roman" w:hint="eastAsia"/>
                <w:spacing w:val="4"/>
              </w:rPr>
              <w:t>１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>
              <w:rPr>
                <w:rFonts w:cs="Times New Roman" w:hint="eastAsia"/>
                <w:spacing w:val="4"/>
              </w:rPr>
              <w:t>学校組織マネジメント</w:t>
            </w:r>
            <w:r w:rsidR="004A6D6A">
              <w:rPr>
                <w:rFonts w:cs="Times New Roman" w:hint="eastAsia"/>
                <w:spacing w:val="4"/>
              </w:rPr>
              <w:t>・学校財務マネジメント</w:t>
            </w:r>
            <w:bookmarkStart w:id="0" w:name="_GoBack"/>
            <w:bookmarkEnd w:id="0"/>
          </w:p>
        </w:tc>
      </w:tr>
      <w:tr w:rsidR="000E1939" w:rsidTr="00E725CB">
        <w:trPr>
          <w:trHeight w:val="1061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B72798">
            <w:pPr>
              <w:pStyle w:val="Web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B72798" w:rsidRP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No1「学校組織マネジメントⅠ（学校</w:t>
            </w:r>
            <w:r w:rsidR="00886727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の</w:t>
            </w:r>
            <w:r w:rsidR="00B72798" w:rsidRP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内外環境の分析）」</w:t>
            </w:r>
            <w:r w:rsid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B72798" w:rsidRP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No2「学校組織マネジメントⅡ（学校ビジョンの検討）」</w:t>
            </w:r>
            <w:r w:rsid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B72798" w:rsidRP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No19「学校組織マネジメントⅢ（人材育成）～教職員が育つ</w:t>
            </w:r>
            <w:r w:rsidR="00B72798" w:rsidRPr="00B7279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学校づくり～」</w:t>
            </w:r>
            <w:r w:rsidR="00B7279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，</w:t>
            </w:r>
            <w:r w:rsidR="00B72798" w:rsidRPr="00B72798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No52「学校財務マネジメント」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90" w:rsidRDefault="00514190">
      <w:r>
        <w:separator/>
      </w:r>
    </w:p>
  </w:endnote>
  <w:endnote w:type="continuationSeparator" w:id="0">
    <w:p w:rsidR="00514190" w:rsidRDefault="005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90" w:rsidRDefault="005141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4190" w:rsidRDefault="0051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2B045C"/>
    <w:rsid w:val="003018FE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A6D6A"/>
    <w:rsid w:val="004B4CFD"/>
    <w:rsid w:val="004D4F64"/>
    <w:rsid w:val="004F4A3D"/>
    <w:rsid w:val="00514190"/>
    <w:rsid w:val="00530807"/>
    <w:rsid w:val="00560A4D"/>
    <w:rsid w:val="0058306A"/>
    <w:rsid w:val="006476D1"/>
    <w:rsid w:val="00650D3B"/>
    <w:rsid w:val="00677583"/>
    <w:rsid w:val="00757AED"/>
    <w:rsid w:val="0076549A"/>
    <w:rsid w:val="00766901"/>
    <w:rsid w:val="00774A3C"/>
    <w:rsid w:val="007B4D8C"/>
    <w:rsid w:val="0081529C"/>
    <w:rsid w:val="00831C20"/>
    <w:rsid w:val="00886727"/>
    <w:rsid w:val="00973EB3"/>
    <w:rsid w:val="009931FB"/>
    <w:rsid w:val="00A71697"/>
    <w:rsid w:val="00AA5EB9"/>
    <w:rsid w:val="00B72798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CBF53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7</cp:revision>
  <cp:lastPrinted>2020-10-09T09:22:00Z</cp:lastPrinted>
  <dcterms:created xsi:type="dcterms:W3CDTF">2020-10-09T09:41:00Z</dcterms:created>
  <dcterms:modified xsi:type="dcterms:W3CDTF">2021-02-13T08:54:00Z</dcterms:modified>
</cp:coreProperties>
</file>